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2" w:type="dxa"/>
        <w:tblInd w:w="-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10" w:type="dxa"/>
          <w:right w:w="10" w:type="dxa"/>
        </w:tblCellMar>
        <w:tblLook w:val="0000"/>
      </w:tblPr>
      <w:tblGrid>
        <w:gridCol w:w="3838"/>
        <w:gridCol w:w="5824"/>
      </w:tblGrid>
      <w:tr w:rsidR="00E85FA1" w:rsidRPr="0072617F" w:rsidTr="00461109">
        <w:tc>
          <w:tcPr>
            <w:tcW w:w="3838" w:type="dxa"/>
            <w:shd w:val="clear" w:color="auto" w:fill="D9D9D9" w:themeFill="background1" w:themeFillShade="D9"/>
            <w:vAlign w:val="center"/>
          </w:tcPr>
          <w:p w:rsidR="00E85FA1" w:rsidRPr="0072617F" w:rsidRDefault="00E85FA1" w:rsidP="00461109">
            <w:pPr>
              <w:autoSpaceDE w:val="0"/>
              <w:snapToGrid w:val="0"/>
              <w:spacing w:after="0"/>
              <w:rPr>
                <w:rFonts w:ascii="Times New Roman" w:eastAsia="Times New Roman" w:hAnsi="Times New Roman"/>
                <w:b/>
                <w:bCs/>
                <w:color w:val="000000"/>
                <w:sz w:val="24"/>
                <w:szCs w:val="24"/>
              </w:rPr>
            </w:pPr>
            <w:r w:rsidRPr="0072617F">
              <w:rPr>
                <w:rFonts w:ascii="Times New Roman" w:eastAsia="Times New Roman" w:hAnsi="Times New Roman"/>
                <w:b/>
                <w:bCs/>
                <w:color w:val="000000"/>
                <w:sz w:val="24"/>
                <w:szCs w:val="24"/>
              </w:rPr>
              <w:t>Az ügytípus megnevezése:</w:t>
            </w:r>
          </w:p>
        </w:tc>
        <w:tc>
          <w:tcPr>
            <w:tcW w:w="5824" w:type="dxa"/>
            <w:shd w:val="clear" w:color="auto" w:fill="D9D9D9" w:themeFill="background1" w:themeFillShade="D9"/>
            <w:vAlign w:val="center"/>
          </w:tcPr>
          <w:p w:rsidR="00E85FA1" w:rsidRPr="0072617F" w:rsidRDefault="00E85FA1" w:rsidP="00461109">
            <w:pPr>
              <w:tabs>
                <w:tab w:val="left" w:pos="360"/>
              </w:tabs>
              <w:autoSpaceDE w:val="0"/>
              <w:snapToGrid w:val="0"/>
              <w:spacing w:before="120" w:after="0"/>
              <w:ind w:left="360"/>
              <w:jc w:val="center"/>
              <w:rPr>
                <w:rFonts w:ascii="Times New Roman" w:hAnsi="Times New Roman"/>
                <w:b/>
                <w:bCs/>
                <w:caps/>
                <w:sz w:val="24"/>
                <w:szCs w:val="24"/>
              </w:rPr>
            </w:pPr>
            <w:r w:rsidRPr="0072617F">
              <w:rPr>
                <w:rFonts w:ascii="Times New Roman" w:hAnsi="Times New Roman"/>
                <w:b/>
                <w:bCs/>
                <w:caps/>
                <w:sz w:val="24"/>
                <w:szCs w:val="24"/>
              </w:rPr>
              <w:t>Lakossági önerős útépítés</w:t>
            </w:r>
            <w:r>
              <w:rPr>
                <w:rFonts w:ascii="Times New Roman" w:hAnsi="Times New Roman"/>
                <w:b/>
                <w:bCs/>
                <w:caps/>
                <w:sz w:val="24"/>
                <w:szCs w:val="24"/>
              </w:rPr>
              <w:t xml:space="preserve"> KEZDEMÉNYEZÉSE</w:t>
            </w:r>
          </w:p>
        </w:tc>
      </w:tr>
      <w:tr w:rsidR="00E85FA1" w:rsidRPr="0072617F" w:rsidTr="00461109">
        <w:tc>
          <w:tcPr>
            <w:tcW w:w="3838" w:type="dxa"/>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Az eljáró osztály (szükség esetén a csoport is) megnevezése:</w:t>
            </w:r>
          </w:p>
        </w:tc>
        <w:tc>
          <w:tcPr>
            <w:tcW w:w="5824" w:type="dxa"/>
            <w:vAlign w:val="center"/>
          </w:tcPr>
          <w:p w:rsidR="00E85FA1" w:rsidRPr="0072617F" w:rsidRDefault="00E85FA1" w:rsidP="00461109">
            <w:pPr>
              <w:autoSpaceDE w:val="0"/>
              <w:snapToGrid w:val="0"/>
              <w:spacing w:after="0" w:line="240" w:lineRule="auto"/>
              <w:jc w:val="center"/>
              <w:rPr>
                <w:rFonts w:ascii="Times New Roman" w:hAnsi="Times New Roman"/>
                <w:color w:val="000000"/>
                <w:kern w:val="1"/>
                <w:sz w:val="24"/>
                <w:szCs w:val="24"/>
                <w:lang w:val="en-US"/>
              </w:rPr>
            </w:pPr>
            <w:r w:rsidRPr="0072617F">
              <w:rPr>
                <w:rFonts w:ascii="Times New Roman" w:hAnsi="Times New Roman"/>
                <w:color w:val="000000"/>
                <w:kern w:val="1"/>
                <w:sz w:val="24"/>
                <w:szCs w:val="24"/>
                <w:lang w:val="en-US"/>
              </w:rPr>
              <w:t xml:space="preserve">Városüzemeltetési Osztály </w:t>
            </w:r>
          </w:p>
          <w:p w:rsidR="00E85FA1" w:rsidRPr="0072617F" w:rsidRDefault="00E85FA1" w:rsidP="00461109">
            <w:pPr>
              <w:spacing w:after="0" w:line="240" w:lineRule="auto"/>
              <w:jc w:val="center"/>
              <w:rPr>
                <w:rFonts w:ascii="Times New Roman" w:hAnsi="Times New Roman"/>
                <w:sz w:val="24"/>
                <w:szCs w:val="24"/>
              </w:rPr>
            </w:pPr>
            <w:r w:rsidRPr="0072617F">
              <w:rPr>
                <w:rFonts w:ascii="Times New Roman" w:hAnsi="Times New Roman"/>
                <w:color w:val="000000"/>
                <w:kern w:val="1"/>
                <w:sz w:val="24"/>
                <w:szCs w:val="24"/>
                <w:lang w:val="en-US"/>
              </w:rPr>
              <w:t>Közmű- és Közterületfejlesztési Csoport</w:t>
            </w:r>
          </w:p>
        </w:tc>
      </w:tr>
      <w:tr w:rsidR="00E85FA1" w:rsidRPr="0072617F" w:rsidTr="00461109">
        <w:tc>
          <w:tcPr>
            <w:tcW w:w="3838" w:type="dxa"/>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Illetékességi területe:</w:t>
            </w:r>
          </w:p>
        </w:tc>
        <w:tc>
          <w:tcPr>
            <w:tcW w:w="5824" w:type="dxa"/>
            <w:vAlign w:val="center"/>
          </w:tcPr>
          <w:p w:rsidR="00E85FA1" w:rsidRPr="0072617F" w:rsidRDefault="00E85FA1" w:rsidP="00461109">
            <w:pPr>
              <w:autoSpaceDE w:val="0"/>
              <w:snapToGrid w:val="0"/>
              <w:spacing w:after="0"/>
              <w:jc w:val="center"/>
              <w:rPr>
                <w:rFonts w:ascii="Times New Roman" w:eastAsia="Times New Roman" w:hAnsi="Times New Roman"/>
                <w:color w:val="000000"/>
                <w:sz w:val="24"/>
                <w:szCs w:val="24"/>
              </w:rPr>
            </w:pPr>
            <w:r w:rsidRPr="0072617F">
              <w:rPr>
                <w:rFonts w:ascii="Times New Roman" w:hAnsi="Times New Roman"/>
                <w:color w:val="000000"/>
                <w:kern w:val="1"/>
                <w:sz w:val="24"/>
                <w:szCs w:val="24"/>
                <w:lang w:val="en-US"/>
              </w:rPr>
              <w:t>Kecskemét Megyei Jogú Város közigazgatási területe</w:t>
            </w:r>
          </w:p>
        </w:tc>
      </w:tr>
      <w:tr w:rsidR="00E85FA1" w:rsidRPr="0072617F" w:rsidTr="00461109">
        <w:tc>
          <w:tcPr>
            <w:tcW w:w="3838" w:type="dxa"/>
            <w:vAlign w:val="center"/>
          </w:tcPr>
          <w:p w:rsidR="00E85FA1" w:rsidRPr="0072617F" w:rsidRDefault="00E85FA1" w:rsidP="00461109">
            <w:pPr>
              <w:autoSpaceDE w:val="0"/>
              <w:snapToGrid w:val="0"/>
              <w:spacing w:after="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Eljárási illeték (igazgatási szolgáltatási díjak):</w:t>
            </w:r>
          </w:p>
        </w:tc>
        <w:tc>
          <w:tcPr>
            <w:tcW w:w="5824" w:type="dxa"/>
            <w:vAlign w:val="center"/>
          </w:tcPr>
          <w:p w:rsidR="00E85FA1" w:rsidRPr="0072617F" w:rsidRDefault="00E85FA1" w:rsidP="00461109">
            <w:pPr>
              <w:autoSpaceDE w:val="0"/>
              <w:snapToGrid w:val="0"/>
              <w:spacing w:after="0"/>
              <w:ind w:left="416"/>
              <w:jc w:val="center"/>
              <w:rPr>
                <w:rFonts w:ascii="Times New Roman" w:hAnsi="Times New Roman"/>
                <w:color w:val="000000"/>
                <w:kern w:val="1"/>
                <w:sz w:val="24"/>
                <w:szCs w:val="24"/>
                <w:lang w:val="en-US"/>
              </w:rPr>
            </w:pPr>
            <w:r w:rsidRPr="0072617F">
              <w:rPr>
                <w:rFonts w:ascii="Times New Roman" w:hAnsi="Times New Roman"/>
                <w:color w:val="000000"/>
                <w:kern w:val="1"/>
                <w:sz w:val="24"/>
                <w:szCs w:val="24"/>
                <w:lang w:val="en-US"/>
              </w:rPr>
              <w:t>-</w:t>
            </w:r>
          </w:p>
        </w:tc>
      </w:tr>
      <w:tr w:rsidR="00E85FA1" w:rsidRPr="0072617F" w:rsidTr="00461109">
        <w:trPr>
          <w:trHeight w:val="442"/>
        </w:trPr>
        <w:tc>
          <w:tcPr>
            <w:tcW w:w="3838" w:type="dxa"/>
            <w:tcBorders>
              <w:bottom w:val="single" w:sz="4" w:space="0" w:color="BFBFBF" w:themeColor="background1" w:themeShade="BF"/>
            </w:tcBorders>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Az ügyintézéshez szükséges dokumentumok, okmányok:</w:t>
            </w:r>
          </w:p>
        </w:tc>
        <w:tc>
          <w:tcPr>
            <w:tcW w:w="5824" w:type="dxa"/>
            <w:tcBorders>
              <w:bottom w:val="single" w:sz="4" w:space="0" w:color="BFBFBF" w:themeColor="background1" w:themeShade="BF"/>
            </w:tcBorders>
            <w:vAlign w:val="center"/>
          </w:tcPr>
          <w:p w:rsidR="00E85FA1" w:rsidRPr="0072617F" w:rsidRDefault="00E85FA1" w:rsidP="00461109">
            <w:pPr>
              <w:autoSpaceDE w:val="0"/>
              <w:spacing w:after="0"/>
              <w:ind w:left="132"/>
              <w:rPr>
                <w:rFonts w:ascii="Times New Roman" w:hAnsi="Times New Roman"/>
                <w:color w:val="000000"/>
                <w:kern w:val="1"/>
                <w:sz w:val="24"/>
                <w:szCs w:val="24"/>
                <w:lang w:val="en-US"/>
              </w:rPr>
            </w:pPr>
            <w:r w:rsidRPr="0072617F">
              <w:rPr>
                <w:rFonts w:ascii="Times New Roman" w:hAnsi="Times New Roman"/>
                <w:color w:val="000000"/>
                <w:kern w:val="1"/>
                <w:sz w:val="24"/>
                <w:szCs w:val="24"/>
                <w:lang w:val="en-US"/>
              </w:rPr>
              <w:t>Utcaközösség által benyújtott támogatási igénybejelentés,</w:t>
            </w:r>
          </w:p>
        </w:tc>
      </w:tr>
      <w:tr w:rsidR="00E85FA1" w:rsidRPr="0072617F" w:rsidTr="00461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FA1" w:rsidRPr="0072617F" w:rsidRDefault="00E85FA1" w:rsidP="00461109">
            <w:pPr>
              <w:autoSpaceDE w:val="0"/>
              <w:snapToGrid w:val="0"/>
              <w:rPr>
                <w:rFonts w:ascii="Times New Roman" w:hAnsi="Times New Roman"/>
                <w:color w:val="000000"/>
                <w:sz w:val="24"/>
                <w:szCs w:val="24"/>
              </w:rPr>
            </w:pPr>
            <w:r w:rsidRPr="0072617F">
              <w:rPr>
                <w:rFonts w:ascii="Times New Roman" w:hAnsi="Times New Roman"/>
                <w:color w:val="000000"/>
                <w:sz w:val="24"/>
                <w:szCs w:val="24"/>
              </w:rPr>
              <w:t>A működését meghatározó jogszabályok felsorolása:</w:t>
            </w:r>
          </w:p>
        </w:tc>
        <w:tc>
          <w:tcPr>
            <w:tcW w:w="5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FA1" w:rsidRPr="0072617F" w:rsidRDefault="00E85FA1" w:rsidP="00E85FA1">
            <w:pPr>
              <w:numPr>
                <w:ilvl w:val="0"/>
                <w:numId w:val="1"/>
              </w:numPr>
              <w:shd w:val="clear" w:color="auto" w:fill="FFFFFF"/>
              <w:spacing w:after="0" w:line="240" w:lineRule="auto"/>
              <w:ind w:left="416" w:right="148" w:hanging="284"/>
              <w:jc w:val="both"/>
              <w:rPr>
                <w:rFonts w:ascii="Times New Roman" w:hAnsi="Times New Roman"/>
                <w:sz w:val="24"/>
                <w:szCs w:val="24"/>
              </w:rPr>
            </w:pPr>
            <w:r w:rsidRPr="0072617F">
              <w:rPr>
                <w:rFonts w:ascii="Times New Roman" w:hAnsi="Times New Roman"/>
                <w:sz w:val="24"/>
                <w:szCs w:val="24"/>
              </w:rPr>
              <w:t xml:space="preserve">A közúti közlekedésről szóló 1988. évi I. törvény </w:t>
            </w:r>
          </w:p>
          <w:p w:rsidR="00E85FA1" w:rsidRPr="0072617F" w:rsidRDefault="00E85FA1" w:rsidP="00E85FA1">
            <w:pPr>
              <w:numPr>
                <w:ilvl w:val="0"/>
                <w:numId w:val="1"/>
              </w:numPr>
              <w:shd w:val="clear" w:color="auto" w:fill="FFFFFF"/>
              <w:spacing w:after="0" w:line="240" w:lineRule="auto"/>
              <w:ind w:left="416" w:right="148" w:hanging="284"/>
              <w:jc w:val="both"/>
              <w:rPr>
                <w:rFonts w:ascii="Times New Roman" w:hAnsi="Times New Roman"/>
                <w:sz w:val="24"/>
                <w:szCs w:val="24"/>
              </w:rPr>
            </w:pPr>
            <w:r w:rsidRPr="0072617F">
              <w:rPr>
                <w:rFonts w:ascii="Times New Roman" w:hAnsi="Times New Roman"/>
                <w:sz w:val="24"/>
                <w:szCs w:val="24"/>
              </w:rPr>
              <w:t xml:space="preserve">2016. évi CL. törvény az általános közigazgatási rendtartás szabályairól </w:t>
            </w:r>
          </w:p>
          <w:p w:rsidR="00E85FA1" w:rsidRPr="0072617F" w:rsidRDefault="00E85FA1" w:rsidP="00E85FA1">
            <w:pPr>
              <w:numPr>
                <w:ilvl w:val="0"/>
                <w:numId w:val="1"/>
              </w:numPr>
              <w:shd w:val="clear" w:color="auto" w:fill="FFFFFF"/>
              <w:spacing w:after="0" w:line="240" w:lineRule="auto"/>
              <w:ind w:left="416" w:right="148" w:hanging="284"/>
              <w:jc w:val="both"/>
              <w:rPr>
                <w:rFonts w:ascii="Times New Roman" w:hAnsi="Times New Roman"/>
                <w:sz w:val="24"/>
                <w:szCs w:val="24"/>
              </w:rPr>
            </w:pPr>
            <w:r w:rsidRPr="0072617F">
              <w:rPr>
                <w:rFonts w:ascii="Times New Roman" w:hAnsi="Times New Roman"/>
                <w:sz w:val="24"/>
                <w:szCs w:val="24"/>
              </w:rPr>
              <w:t xml:space="preserve">22/2016. (XII.15.) önkormányzati rendelet a lakossági kezdeményezésű útépítésekről </w:t>
            </w:r>
          </w:p>
          <w:p w:rsidR="00E85FA1" w:rsidRPr="0072617F" w:rsidRDefault="00E85FA1" w:rsidP="00E85FA1">
            <w:pPr>
              <w:numPr>
                <w:ilvl w:val="0"/>
                <w:numId w:val="1"/>
              </w:numPr>
              <w:shd w:val="clear" w:color="auto" w:fill="FFFFFF"/>
              <w:spacing w:after="0" w:line="240" w:lineRule="auto"/>
              <w:ind w:left="416" w:right="148" w:hanging="284"/>
              <w:jc w:val="both"/>
              <w:rPr>
                <w:rFonts w:ascii="Times New Roman" w:hAnsi="Times New Roman"/>
                <w:sz w:val="24"/>
                <w:szCs w:val="24"/>
              </w:rPr>
            </w:pPr>
            <w:r w:rsidRPr="0072617F">
              <w:rPr>
                <w:rFonts w:ascii="Times New Roman" w:hAnsi="Times New Roman"/>
                <w:sz w:val="24"/>
                <w:szCs w:val="24"/>
              </w:rPr>
              <w:t>4/2013. (II.14.) önkormányzati rendelet Kecskemét Megyei Jogú Város Önkormányzata Közgyűlésének a Közgyűlés és Szervei Szervezeti és Működési Szabályzatáról</w:t>
            </w:r>
          </w:p>
          <w:p w:rsidR="00E85FA1" w:rsidRPr="0072617F" w:rsidRDefault="00E85FA1" w:rsidP="00E85FA1">
            <w:pPr>
              <w:numPr>
                <w:ilvl w:val="0"/>
                <w:numId w:val="1"/>
              </w:numPr>
              <w:shd w:val="clear" w:color="auto" w:fill="FFFFFF"/>
              <w:spacing w:after="0" w:line="240" w:lineRule="auto"/>
              <w:ind w:left="416" w:right="148" w:hanging="284"/>
              <w:jc w:val="both"/>
              <w:rPr>
                <w:rFonts w:ascii="Times New Roman" w:hAnsi="Times New Roman"/>
                <w:sz w:val="24"/>
                <w:szCs w:val="24"/>
              </w:rPr>
            </w:pPr>
            <w:r w:rsidRPr="0072617F">
              <w:rPr>
                <w:rFonts w:ascii="Times New Roman" w:hAnsi="Times New Roman"/>
                <w:sz w:val="24"/>
                <w:szCs w:val="24"/>
              </w:rPr>
              <w:t>33/2015. (XII.17.) sz. rendelet Kecskemét Megyei Jogú Város Helyi Építési Szabályzatáról</w:t>
            </w:r>
            <w:r w:rsidRPr="0072617F">
              <w:rPr>
                <w:rFonts w:ascii="Times New Roman" w:hAnsi="Times New Roman"/>
              </w:rPr>
              <w:t xml:space="preserve"> </w:t>
            </w:r>
            <w:r w:rsidRPr="0072617F">
              <w:rPr>
                <w:rFonts w:ascii="Times New Roman" w:hAnsi="Times New Roman"/>
                <w:sz w:val="24"/>
                <w:szCs w:val="24"/>
              </w:rPr>
              <w:t>(HÉSZ)</w:t>
            </w:r>
          </w:p>
        </w:tc>
      </w:tr>
      <w:tr w:rsidR="00E85FA1" w:rsidRPr="0072617F" w:rsidTr="00461109">
        <w:tc>
          <w:tcPr>
            <w:tcW w:w="3838" w:type="dxa"/>
            <w:tcBorders>
              <w:top w:val="single" w:sz="4" w:space="0" w:color="BFBFBF" w:themeColor="background1" w:themeShade="BF"/>
            </w:tcBorders>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Alapvető eljárási szabályok:</w:t>
            </w:r>
          </w:p>
        </w:tc>
        <w:tc>
          <w:tcPr>
            <w:tcW w:w="5824" w:type="dxa"/>
            <w:tcBorders>
              <w:top w:val="single" w:sz="4" w:space="0" w:color="BFBFBF" w:themeColor="background1" w:themeShade="BF"/>
            </w:tcBorders>
            <w:vAlign w:val="center"/>
          </w:tcPr>
          <w:p w:rsidR="00E85FA1" w:rsidRPr="0072617F" w:rsidRDefault="00E85FA1" w:rsidP="00461109">
            <w:pPr>
              <w:autoSpaceDE w:val="0"/>
              <w:spacing w:after="0" w:line="240" w:lineRule="auto"/>
              <w:ind w:left="132" w:right="133"/>
              <w:jc w:val="both"/>
              <w:rPr>
                <w:rFonts w:ascii="Times New Roman" w:hAnsi="Times New Roman"/>
                <w:sz w:val="24"/>
                <w:szCs w:val="24"/>
              </w:rPr>
            </w:pPr>
            <w:r w:rsidRPr="0072617F">
              <w:rPr>
                <w:rFonts w:ascii="Times New Roman" w:hAnsi="Times New Roman"/>
                <w:color w:val="000000"/>
                <w:kern w:val="1"/>
                <w:sz w:val="24"/>
                <w:szCs w:val="24"/>
                <w:lang w:val="en-US"/>
              </w:rPr>
              <w:t xml:space="preserve">A lakossági kezdeményezésre megvalósuló útépítések támogatási rendszerére vonatkozó folyamatot a </w:t>
            </w:r>
            <w:r w:rsidRPr="0072617F">
              <w:rPr>
                <w:rFonts w:ascii="Times New Roman" w:hAnsi="Times New Roman"/>
                <w:sz w:val="24"/>
                <w:szCs w:val="24"/>
              </w:rPr>
              <w:t xml:space="preserve">22/2016. (XII.15.) </w:t>
            </w:r>
            <w:r w:rsidRPr="0072617F">
              <w:rPr>
                <w:rFonts w:ascii="Times New Roman" w:hAnsi="Times New Roman"/>
                <w:color w:val="000000"/>
                <w:kern w:val="1"/>
                <w:sz w:val="24"/>
                <w:szCs w:val="24"/>
                <w:lang w:val="en-US"/>
              </w:rPr>
              <w:t xml:space="preserve">önkormányzati rendelet szabályozza. Az utcaközösség által benyújtott kérelem alapján </w:t>
            </w:r>
            <w:r w:rsidRPr="0072617F">
              <w:rPr>
                <w:rFonts w:ascii="Times New Roman" w:hAnsi="Times New Roman"/>
                <w:sz w:val="24"/>
                <w:szCs w:val="24"/>
              </w:rPr>
              <w:t xml:space="preserve">kétféle módon biztosíthat támogatási lehetőséget az önkormányzat az alábbiak szerint: </w:t>
            </w:r>
          </w:p>
          <w:p w:rsidR="00E85FA1" w:rsidRPr="0072617F" w:rsidRDefault="00E85FA1" w:rsidP="00461109">
            <w:pPr>
              <w:autoSpaceDE w:val="0"/>
              <w:spacing w:after="0" w:line="240" w:lineRule="auto"/>
              <w:ind w:left="132" w:right="133"/>
              <w:jc w:val="both"/>
              <w:rPr>
                <w:rFonts w:ascii="Times New Roman" w:hAnsi="Times New Roman"/>
                <w:sz w:val="24"/>
                <w:szCs w:val="24"/>
              </w:rPr>
            </w:pPr>
          </w:p>
          <w:p w:rsidR="00E85FA1" w:rsidRPr="0072617F" w:rsidRDefault="00E85FA1" w:rsidP="00E85FA1">
            <w:pPr>
              <w:pStyle w:val="lfej"/>
              <w:numPr>
                <w:ilvl w:val="0"/>
                <w:numId w:val="4"/>
              </w:numPr>
              <w:tabs>
                <w:tab w:val="clear" w:pos="4536"/>
                <w:tab w:val="clear" w:pos="9072"/>
              </w:tabs>
              <w:suppressAutoHyphens/>
              <w:overflowPunct w:val="0"/>
              <w:autoSpaceDE w:val="0"/>
              <w:ind w:left="145" w:right="148"/>
              <w:jc w:val="both"/>
              <w:textAlignment w:val="baseline"/>
              <w:rPr>
                <w:rFonts w:ascii="Times New Roman" w:hAnsi="Times New Roman"/>
                <w:sz w:val="24"/>
                <w:szCs w:val="24"/>
                <w:u w:val="single"/>
              </w:rPr>
            </w:pPr>
            <w:r w:rsidRPr="0072617F">
              <w:rPr>
                <w:rFonts w:ascii="Times New Roman" w:hAnsi="Times New Roman"/>
                <w:sz w:val="24"/>
                <w:szCs w:val="24"/>
                <w:u w:val="single"/>
              </w:rPr>
              <w:t>Önkormányzati beruházás keretében</w:t>
            </w:r>
            <w:r w:rsidRPr="0072617F">
              <w:rPr>
                <w:rFonts w:ascii="Times New Roman" w:hAnsi="Times New Roman"/>
                <w:sz w:val="24"/>
                <w:szCs w:val="24"/>
              </w:rPr>
              <w:t>, az alábbi feltételek fennállása esetén nyújtható támogatás:</w:t>
            </w:r>
          </w:p>
          <w:p w:rsidR="00E85FA1" w:rsidRPr="0072617F" w:rsidRDefault="00E85FA1" w:rsidP="00E85FA1">
            <w:pPr>
              <w:pStyle w:val="lfej"/>
              <w:numPr>
                <w:ilvl w:val="0"/>
                <w:numId w:val="2"/>
              </w:numPr>
              <w:tabs>
                <w:tab w:val="clear" w:pos="4536"/>
                <w:tab w:val="clear" w:pos="9072"/>
              </w:tabs>
              <w:suppressAutoHyphens/>
              <w:overflowPunct w:val="0"/>
              <w:autoSpaceDE w:val="0"/>
              <w:ind w:left="145" w:right="148" w:hanging="425"/>
              <w:jc w:val="both"/>
              <w:textAlignment w:val="baseline"/>
              <w:rPr>
                <w:rFonts w:ascii="Times New Roman" w:hAnsi="Times New Roman"/>
                <w:sz w:val="24"/>
                <w:szCs w:val="24"/>
              </w:rPr>
            </w:pPr>
            <w:r w:rsidRPr="0072617F">
              <w:rPr>
                <w:rFonts w:ascii="Times New Roman" w:hAnsi="Times New Roman"/>
                <w:sz w:val="24"/>
                <w:szCs w:val="24"/>
              </w:rPr>
              <w:t>- a beruházással összefüggésben a rendelet szabályai szerint megállapított mértékű útépítési érdekeltségi hozzájárulást az érdekeltek legalább kétharmad része már az önkormányzat számára megfizette,</w:t>
            </w:r>
          </w:p>
          <w:p w:rsidR="00E85FA1" w:rsidRPr="0072617F" w:rsidRDefault="00E85FA1" w:rsidP="00E85FA1">
            <w:pPr>
              <w:pStyle w:val="lfej"/>
              <w:numPr>
                <w:ilvl w:val="0"/>
                <w:numId w:val="2"/>
              </w:numPr>
              <w:tabs>
                <w:tab w:val="clear" w:pos="4536"/>
                <w:tab w:val="clear" w:pos="9072"/>
              </w:tabs>
              <w:suppressAutoHyphens/>
              <w:overflowPunct w:val="0"/>
              <w:autoSpaceDE w:val="0"/>
              <w:ind w:left="145" w:right="148" w:hanging="425"/>
              <w:jc w:val="both"/>
              <w:textAlignment w:val="baseline"/>
              <w:rPr>
                <w:rFonts w:ascii="Times New Roman" w:hAnsi="Times New Roman"/>
                <w:sz w:val="24"/>
                <w:szCs w:val="24"/>
              </w:rPr>
            </w:pPr>
            <w:r w:rsidRPr="0072617F">
              <w:rPr>
                <w:rFonts w:ascii="Times New Roman" w:hAnsi="Times New Roman"/>
                <w:sz w:val="24"/>
                <w:szCs w:val="24"/>
              </w:rPr>
              <w:t>- arra az önkormányzat költségvetése forrást biztosít,</w:t>
            </w:r>
          </w:p>
          <w:p w:rsidR="00E85FA1" w:rsidRPr="0072617F" w:rsidRDefault="00E85FA1" w:rsidP="00E85FA1">
            <w:pPr>
              <w:pStyle w:val="lfej"/>
              <w:numPr>
                <w:ilvl w:val="0"/>
                <w:numId w:val="2"/>
              </w:numPr>
              <w:tabs>
                <w:tab w:val="clear" w:pos="4536"/>
                <w:tab w:val="clear" w:pos="9072"/>
              </w:tabs>
              <w:suppressAutoHyphens/>
              <w:overflowPunct w:val="0"/>
              <w:autoSpaceDE w:val="0"/>
              <w:ind w:left="145" w:right="148" w:hanging="425"/>
              <w:jc w:val="both"/>
              <w:textAlignment w:val="baseline"/>
              <w:rPr>
                <w:rFonts w:ascii="Times New Roman" w:hAnsi="Times New Roman"/>
                <w:sz w:val="24"/>
                <w:szCs w:val="24"/>
              </w:rPr>
            </w:pPr>
            <w:r w:rsidRPr="0072617F">
              <w:rPr>
                <w:rFonts w:ascii="Times New Roman" w:hAnsi="Times New Roman"/>
                <w:sz w:val="24"/>
                <w:szCs w:val="24"/>
              </w:rPr>
              <w:t>- útépítési beruházás esetén valamennyi, a szilárd burkolat alá kerülő nyomvonalas közmű megépítésre került vagy a beruházás részeként megvalósul,</w:t>
            </w:r>
          </w:p>
          <w:p w:rsidR="00E85FA1" w:rsidRPr="0072617F" w:rsidRDefault="00E85FA1" w:rsidP="00E85FA1">
            <w:pPr>
              <w:pStyle w:val="lfej"/>
              <w:numPr>
                <w:ilvl w:val="0"/>
                <w:numId w:val="2"/>
              </w:numPr>
              <w:tabs>
                <w:tab w:val="clear" w:pos="4536"/>
                <w:tab w:val="clear" w:pos="9072"/>
              </w:tabs>
              <w:suppressAutoHyphens/>
              <w:overflowPunct w:val="0"/>
              <w:autoSpaceDE w:val="0"/>
              <w:ind w:left="145" w:right="148" w:hanging="425"/>
              <w:jc w:val="both"/>
              <w:textAlignment w:val="baseline"/>
              <w:rPr>
                <w:rFonts w:ascii="Times New Roman" w:hAnsi="Times New Roman"/>
                <w:sz w:val="24"/>
                <w:szCs w:val="24"/>
              </w:rPr>
            </w:pPr>
            <w:r w:rsidRPr="0072617F">
              <w:rPr>
                <w:rFonts w:ascii="Times New Roman" w:hAnsi="Times New Roman"/>
                <w:sz w:val="24"/>
                <w:szCs w:val="24"/>
              </w:rPr>
              <w:t>- a kiépítendő útnak közvetlen csatlakozása van szilárd burkolatú úthoz, valamint a szilárd burkolatú csatlakozó út megépítés alatt áll,</w:t>
            </w:r>
          </w:p>
          <w:p w:rsidR="00E85FA1" w:rsidRPr="0072617F" w:rsidRDefault="00E85FA1" w:rsidP="00E85FA1">
            <w:pPr>
              <w:pStyle w:val="lfej"/>
              <w:numPr>
                <w:ilvl w:val="0"/>
                <w:numId w:val="2"/>
              </w:numPr>
              <w:tabs>
                <w:tab w:val="clear" w:pos="4536"/>
                <w:tab w:val="clear" w:pos="9072"/>
              </w:tabs>
              <w:suppressAutoHyphens/>
              <w:overflowPunct w:val="0"/>
              <w:autoSpaceDE w:val="0"/>
              <w:ind w:left="145" w:right="148" w:hanging="425"/>
              <w:jc w:val="both"/>
              <w:textAlignment w:val="baseline"/>
              <w:rPr>
                <w:rFonts w:ascii="Times New Roman" w:hAnsi="Times New Roman"/>
                <w:sz w:val="24"/>
                <w:szCs w:val="24"/>
              </w:rPr>
            </w:pPr>
            <w:r w:rsidRPr="0072617F">
              <w:rPr>
                <w:rFonts w:ascii="Times New Roman" w:hAnsi="Times New Roman"/>
                <w:sz w:val="24"/>
                <w:szCs w:val="24"/>
              </w:rPr>
              <w:t>- a beruházás megvalósításához szükséges, nyomvonalat képező valamennyi ingatlan önkormányzati vagy állami tulajdonában áll.</w:t>
            </w:r>
          </w:p>
          <w:p w:rsidR="00E85FA1" w:rsidRPr="0072617F" w:rsidRDefault="00E85FA1" w:rsidP="00461109">
            <w:pPr>
              <w:spacing w:after="0"/>
              <w:ind w:left="145" w:right="148"/>
              <w:jc w:val="both"/>
              <w:rPr>
                <w:rFonts w:ascii="Times New Roman" w:hAnsi="Times New Roman"/>
                <w:sz w:val="24"/>
                <w:szCs w:val="24"/>
              </w:rPr>
            </w:pPr>
          </w:p>
          <w:p w:rsidR="00E85FA1" w:rsidRPr="0072617F" w:rsidRDefault="00E85FA1" w:rsidP="00461109">
            <w:pPr>
              <w:ind w:left="145" w:right="148"/>
              <w:jc w:val="both"/>
              <w:rPr>
                <w:rFonts w:ascii="Times New Roman" w:hAnsi="Times New Roman"/>
                <w:sz w:val="24"/>
                <w:szCs w:val="24"/>
              </w:rPr>
            </w:pPr>
            <w:r w:rsidRPr="0072617F">
              <w:rPr>
                <w:rFonts w:ascii="Times New Roman" w:hAnsi="Times New Roman"/>
                <w:sz w:val="24"/>
                <w:szCs w:val="24"/>
              </w:rPr>
              <w:t xml:space="preserve">Az útépítési érdekeltségi hozzájárulás egy érdekeltségi </w:t>
            </w:r>
            <w:r w:rsidRPr="0072617F">
              <w:rPr>
                <w:rFonts w:ascii="Times New Roman" w:hAnsi="Times New Roman"/>
                <w:sz w:val="24"/>
                <w:szCs w:val="24"/>
              </w:rPr>
              <w:lastRenderedPageBreak/>
              <w:t xml:space="preserve">egységre jutó legkisebb mértéke: </w:t>
            </w:r>
          </w:p>
          <w:p w:rsidR="00E85FA1" w:rsidRPr="0072617F" w:rsidRDefault="00E85FA1" w:rsidP="00E85FA1">
            <w:pPr>
              <w:numPr>
                <w:ilvl w:val="1"/>
                <w:numId w:val="6"/>
              </w:numPr>
              <w:spacing w:after="0" w:line="240" w:lineRule="auto"/>
              <w:ind w:left="145" w:right="148" w:hanging="189"/>
              <w:jc w:val="both"/>
              <w:rPr>
                <w:rFonts w:ascii="Times New Roman" w:hAnsi="Times New Roman"/>
                <w:sz w:val="24"/>
                <w:szCs w:val="24"/>
              </w:rPr>
            </w:pPr>
            <w:r w:rsidRPr="0072617F">
              <w:rPr>
                <w:rFonts w:ascii="Times New Roman" w:hAnsi="Times New Roman"/>
                <w:sz w:val="24"/>
                <w:szCs w:val="24"/>
              </w:rPr>
              <w:t>gyűjtőút esetén a beruházási költség 40 %-ának és az érdekeltségi egységek számának hányadosa,</w:t>
            </w:r>
          </w:p>
          <w:p w:rsidR="00E85FA1" w:rsidRPr="0072617F" w:rsidRDefault="00E85FA1" w:rsidP="00E85FA1">
            <w:pPr>
              <w:numPr>
                <w:ilvl w:val="1"/>
                <w:numId w:val="6"/>
              </w:numPr>
              <w:spacing w:after="0" w:line="240" w:lineRule="auto"/>
              <w:ind w:left="145" w:right="148" w:hanging="189"/>
              <w:jc w:val="both"/>
              <w:rPr>
                <w:rFonts w:ascii="Times New Roman" w:hAnsi="Times New Roman"/>
                <w:sz w:val="24"/>
                <w:szCs w:val="24"/>
              </w:rPr>
            </w:pPr>
            <w:r w:rsidRPr="0072617F">
              <w:rPr>
                <w:rFonts w:ascii="Times New Roman" w:hAnsi="Times New Roman"/>
                <w:sz w:val="24"/>
                <w:szCs w:val="24"/>
              </w:rPr>
              <w:t>lakóút esetében a beruházási költség 50 %-ának és az érdekeltségi egységek számának hányadosa,</w:t>
            </w:r>
          </w:p>
          <w:p w:rsidR="00E85FA1" w:rsidRPr="0072617F" w:rsidRDefault="00E85FA1" w:rsidP="00E85FA1">
            <w:pPr>
              <w:numPr>
                <w:ilvl w:val="1"/>
                <w:numId w:val="6"/>
              </w:numPr>
              <w:spacing w:after="0" w:line="240" w:lineRule="auto"/>
              <w:ind w:left="145" w:right="148" w:hanging="189"/>
              <w:jc w:val="both"/>
              <w:rPr>
                <w:rFonts w:ascii="Times New Roman" w:hAnsi="Times New Roman"/>
                <w:sz w:val="24"/>
                <w:szCs w:val="24"/>
              </w:rPr>
            </w:pPr>
            <w:r w:rsidRPr="0072617F">
              <w:rPr>
                <w:rFonts w:ascii="Times New Roman" w:hAnsi="Times New Roman"/>
                <w:sz w:val="24"/>
                <w:szCs w:val="24"/>
              </w:rPr>
              <w:t>kiszolgáló út esetében a beruházási költség 50 %-ának és az érdekeltségi egységek számának hányadosa,</w:t>
            </w:r>
          </w:p>
          <w:p w:rsidR="00E85FA1" w:rsidRPr="0072617F" w:rsidRDefault="00E85FA1" w:rsidP="00E85FA1">
            <w:pPr>
              <w:numPr>
                <w:ilvl w:val="1"/>
                <w:numId w:val="6"/>
              </w:numPr>
              <w:spacing w:after="0" w:line="240" w:lineRule="auto"/>
              <w:ind w:left="145" w:right="148" w:hanging="189"/>
              <w:jc w:val="both"/>
              <w:rPr>
                <w:rFonts w:ascii="Times New Roman" w:hAnsi="Times New Roman"/>
                <w:sz w:val="24"/>
                <w:szCs w:val="24"/>
              </w:rPr>
            </w:pPr>
            <w:r w:rsidRPr="0072617F">
              <w:rPr>
                <w:rFonts w:ascii="Times New Roman" w:hAnsi="Times New Roman"/>
                <w:sz w:val="24"/>
                <w:szCs w:val="24"/>
              </w:rPr>
              <w:t>járda esetében a beruházás költség 50 %-ának és az érdekeltségi egységek számának hányadosa.</w:t>
            </w:r>
          </w:p>
          <w:p w:rsidR="00E85FA1" w:rsidRPr="0072617F" w:rsidRDefault="00E85FA1" w:rsidP="00461109">
            <w:pPr>
              <w:spacing w:after="0"/>
              <w:ind w:left="145" w:right="148"/>
              <w:jc w:val="both"/>
              <w:rPr>
                <w:rFonts w:ascii="Times New Roman" w:hAnsi="Times New Roman"/>
                <w:sz w:val="24"/>
                <w:szCs w:val="24"/>
              </w:rPr>
            </w:pPr>
          </w:p>
          <w:p w:rsidR="00E85FA1" w:rsidRPr="0072617F" w:rsidRDefault="00E85FA1" w:rsidP="00461109">
            <w:pPr>
              <w:spacing w:after="0" w:line="240" w:lineRule="auto"/>
              <w:ind w:left="145" w:right="148"/>
              <w:jc w:val="both"/>
              <w:rPr>
                <w:rFonts w:ascii="Times New Roman" w:hAnsi="Times New Roman"/>
                <w:sz w:val="24"/>
                <w:szCs w:val="24"/>
              </w:rPr>
            </w:pPr>
            <w:r w:rsidRPr="0072617F">
              <w:rPr>
                <w:rFonts w:ascii="Times New Roman" w:hAnsi="Times New Roman"/>
                <w:sz w:val="24"/>
                <w:szCs w:val="24"/>
              </w:rPr>
              <w:t>Az útépítési érdekeltségi hozzájárulás 50 %-át kell megfizetni azoknak a több úttal is határos ingatlannal rendelkező érdekelteknek, akik a rendelet hatályba lépését megelőzően az ingatlannal határos másik út megépítése érdekében útépítési érdekeltségi hozzájárulás megfizetésére kötelezettséget vállaltak vagy annak megfizetésére őket az önkormányzat kötelezte. Ezen körülmények fennállását az érdekeltnek kell bizonyítania a kötelezettséget keletkeztető dokumentum önkormányzat részére a 8. § (4) bekezdés szerinti határidőben történő bemutatásával.”</w:t>
            </w:r>
          </w:p>
          <w:p w:rsidR="00E85FA1" w:rsidRPr="0072617F" w:rsidRDefault="00E85FA1" w:rsidP="00461109">
            <w:pPr>
              <w:pStyle w:val="lfej"/>
              <w:tabs>
                <w:tab w:val="clear" w:pos="4536"/>
                <w:tab w:val="clear" w:pos="9072"/>
              </w:tabs>
              <w:jc w:val="both"/>
              <w:rPr>
                <w:rFonts w:ascii="Times New Roman" w:hAnsi="Times New Roman"/>
                <w:sz w:val="24"/>
                <w:szCs w:val="24"/>
              </w:rPr>
            </w:pPr>
          </w:p>
          <w:p w:rsidR="00E85FA1" w:rsidRPr="0072617F" w:rsidRDefault="00E85FA1" w:rsidP="00461109">
            <w:pPr>
              <w:pStyle w:val="lfej"/>
              <w:tabs>
                <w:tab w:val="clear" w:pos="4536"/>
                <w:tab w:val="clear" w:pos="9072"/>
              </w:tabs>
              <w:suppressAutoHyphens/>
              <w:overflowPunct w:val="0"/>
              <w:autoSpaceDE w:val="0"/>
              <w:ind w:left="145"/>
              <w:jc w:val="both"/>
              <w:textAlignment w:val="baseline"/>
              <w:rPr>
                <w:rFonts w:ascii="Times New Roman" w:hAnsi="Times New Roman"/>
                <w:sz w:val="24"/>
                <w:szCs w:val="24"/>
                <w:u w:val="single"/>
              </w:rPr>
            </w:pPr>
            <w:r w:rsidRPr="0072617F">
              <w:rPr>
                <w:rFonts w:ascii="Times New Roman" w:hAnsi="Times New Roman"/>
                <w:sz w:val="24"/>
                <w:szCs w:val="24"/>
                <w:u w:val="single"/>
              </w:rPr>
              <w:t>Nem önkormányzati beruházásban:</w:t>
            </w:r>
          </w:p>
          <w:p w:rsidR="00E85FA1" w:rsidRPr="0072617F" w:rsidRDefault="00E85FA1" w:rsidP="00461109">
            <w:pPr>
              <w:pStyle w:val="lfej"/>
              <w:tabs>
                <w:tab w:val="clear" w:pos="4536"/>
                <w:tab w:val="clear" w:pos="9072"/>
              </w:tabs>
              <w:ind w:left="145" w:right="148"/>
              <w:jc w:val="both"/>
              <w:rPr>
                <w:rFonts w:ascii="Times New Roman" w:hAnsi="Times New Roman"/>
                <w:sz w:val="24"/>
                <w:szCs w:val="24"/>
              </w:rPr>
            </w:pPr>
            <w:r w:rsidRPr="0072617F">
              <w:rPr>
                <w:rFonts w:ascii="Times New Roman" w:hAnsi="Times New Roman"/>
                <w:sz w:val="24"/>
                <w:szCs w:val="24"/>
              </w:rPr>
              <w:t xml:space="preserve">A 11.§ szerint az önkormányzat kérelemre lakóút megépítéséhez útépítési támogatást nyújthat, ha az útépítési beruházás </w:t>
            </w:r>
          </w:p>
          <w:p w:rsidR="00E85FA1" w:rsidRPr="0072617F" w:rsidRDefault="00E85FA1" w:rsidP="00E85FA1">
            <w:pPr>
              <w:pStyle w:val="lfej"/>
              <w:numPr>
                <w:ilvl w:val="1"/>
                <w:numId w:val="5"/>
              </w:numPr>
              <w:tabs>
                <w:tab w:val="clear" w:pos="4536"/>
                <w:tab w:val="clear" w:pos="9072"/>
              </w:tabs>
              <w:suppressAutoHyphens/>
              <w:overflowPunct w:val="0"/>
              <w:autoSpaceDE w:val="0"/>
              <w:ind w:left="413" w:right="148" w:hanging="284"/>
              <w:jc w:val="both"/>
              <w:textAlignment w:val="baseline"/>
              <w:rPr>
                <w:rFonts w:ascii="Times New Roman" w:hAnsi="Times New Roman"/>
                <w:sz w:val="24"/>
                <w:szCs w:val="24"/>
              </w:rPr>
            </w:pPr>
            <w:r w:rsidRPr="0072617F">
              <w:rPr>
                <w:rFonts w:ascii="Times New Roman" w:hAnsi="Times New Roman"/>
                <w:sz w:val="24"/>
                <w:szCs w:val="24"/>
              </w:rPr>
              <w:t>az önkormányzat tulajdonában álló közúton valósul meg és</w:t>
            </w:r>
          </w:p>
          <w:p w:rsidR="00E85FA1" w:rsidRPr="0072617F" w:rsidRDefault="00E85FA1" w:rsidP="00E85FA1">
            <w:pPr>
              <w:pStyle w:val="lfej"/>
              <w:numPr>
                <w:ilvl w:val="1"/>
                <w:numId w:val="5"/>
              </w:numPr>
              <w:tabs>
                <w:tab w:val="clear" w:pos="4536"/>
                <w:tab w:val="clear" w:pos="9072"/>
              </w:tabs>
              <w:suppressAutoHyphens/>
              <w:overflowPunct w:val="0"/>
              <w:autoSpaceDE w:val="0"/>
              <w:ind w:left="413" w:right="148" w:hanging="284"/>
              <w:jc w:val="both"/>
              <w:textAlignment w:val="baseline"/>
              <w:rPr>
                <w:rFonts w:ascii="Times New Roman" w:hAnsi="Times New Roman"/>
                <w:sz w:val="24"/>
                <w:szCs w:val="24"/>
              </w:rPr>
            </w:pPr>
            <w:r w:rsidRPr="0072617F">
              <w:rPr>
                <w:rFonts w:ascii="Times New Roman" w:hAnsi="Times New Roman"/>
                <w:sz w:val="24"/>
                <w:szCs w:val="24"/>
              </w:rPr>
              <w:t>a kérelmező jogerős érvényes építési engedéllyel rendelkezik, és az engedély érvényessége a kérelem benyújtásától számított legalább 18 hónap időtartamot meghaladja.</w:t>
            </w:r>
          </w:p>
          <w:p w:rsidR="00E85FA1" w:rsidRPr="0072617F" w:rsidRDefault="00E85FA1" w:rsidP="00461109">
            <w:pPr>
              <w:pStyle w:val="lfej"/>
              <w:tabs>
                <w:tab w:val="clear" w:pos="4536"/>
                <w:tab w:val="clear" w:pos="9072"/>
              </w:tabs>
              <w:jc w:val="both"/>
              <w:rPr>
                <w:rFonts w:ascii="Times New Roman" w:hAnsi="Times New Roman"/>
                <w:sz w:val="24"/>
                <w:szCs w:val="24"/>
              </w:rPr>
            </w:pPr>
          </w:p>
          <w:p w:rsidR="00E85FA1" w:rsidRPr="0072617F" w:rsidRDefault="00E85FA1" w:rsidP="00461109">
            <w:pPr>
              <w:pStyle w:val="lfej"/>
              <w:tabs>
                <w:tab w:val="clear" w:pos="4536"/>
                <w:tab w:val="clear" w:pos="9072"/>
              </w:tabs>
              <w:ind w:left="145" w:right="148"/>
              <w:jc w:val="both"/>
              <w:rPr>
                <w:rFonts w:ascii="Times New Roman" w:hAnsi="Times New Roman"/>
                <w:sz w:val="24"/>
                <w:szCs w:val="24"/>
              </w:rPr>
            </w:pPr>
            <w:r w:rsidRPr="0072617F">
              <w:rPr>
                <w:rFonts w:ascii="Times New Roman" w:hAnsi="Times New Roman"/>
                <w:sz w:val="24"/>
                <w:szCs w:val="24"/>
              </w:rPr>
              <w:t xml:space="preserve">A kérelmet a támogatás iránt az útépítési beruházás hatósági engedélyében megnevezett természetes személy nyújthatja be, ha </w:t>
            </w:r>
          </w:p>
          <w:p w:rsidR="00E85FA1" w:rsidRPr="0072617F" w:rsidRDefault="00E85FA1" w:rsidP="00E85FA1">
            <w:pPr>
              <w:pStyle w:val="lfej"/>
              <w:numPr>
                <w:ilvl w:val="0"/>
                <w:numId w:val="3"/>
              </w:numPr>
              <w:tabs>
                <w:tab w:val="clear" w:pos="4536"/>
                <w:tab w:val="clear" w:pos="9072"/>
              </w:tabs>
              <w:suppressAutoHyphens/>
              <w:overflowPunct w:val="0"/>
              <w:autoSpaceDE w:val="0"/>
              <w:ind w:left="413" w:right="148" w:hanging="284"/>
              <w:jc w:val="both"/>
              <w:textAlignment w:val="baseline"/>
              <w:rPr>
                <w:rFonts w:ascii="Times New Roman" w:hAnsi="Times New Roman"/>
                <w:sz w:val="24"/>
                <w:szCs w:val="24"/>
              </w:rPr>
            </w:pPr>
            <w:r w:rsidRPr="0072617F">
              <w:rPr>
                <w:rFonts w:ascii="Times New Roman" w:hAnsi="Times New Roman"/>
                <w:sz w:val="24"/>
                <w:szCs w:val="24"/>
              </w:rPr>
              <w:t>kötelezettséget vállal arra, hogy a beruházás megvalósítását követően az elkészült építményt térítésmentesen az önkormányzat tulajdonába adja,</w:t>
            </w:r>
          </w:p>
          <w:p w:rsidR="00E85FA1" w:rsidRPr="0072617F" w:rsidRDefault="00E85FA1" w:rsidP="00E85FA1">
            <w:pPr>
              <w:pStyle w:val="lfej"/>
              <w:numPr>
                <w:ilvl w:val="0"/>
                <w:numId w:val="3"/>
              </w:numPr>
              <w:tabs>
                <w:tab w:val="clear" w:pos="4536"/>
                <w:tab w:val="clear" w:pos="9072"/>
              </w:tabs>
              <w:suppressAutoHyphens/>
              <w:overflowPunct w:val="0"/>
              <w:autoSpaceDE w:val="0"/>
              <w:ind w:left="413" w:right="148" w:hanging="284"/>
              <w:jc w:val="both"/>
              <w:textAlignment w:val="baseline"/>
              <w:rPr>
                <w:rFonts w:ascii="Times New Roman" w:hAnsi="Times New Roman"/>
                <w:sz w:val="24"/>
                <w:szCs w:val="24"/>
              </w:rPr>
            </w:pPr>
            <w:r w:rsidRPr="0072617F">
              <w:rPr>
                <w:rFonts w:ascii="Times New Roman" w:hAnsi="Times New Roman"/>
                <w:sz w:val="24"/>
                <w:szCs w:val="24"/>
              </w:rPr>
              <w:t>kötelezettséget vállal arra, hogy a járda- vagy útépítés tervezésére és kivitelezésre megkötött szerződésekből származó garanciális, szavatossági, jótállási és egyéb, a szerződések teljesítését a szerződések időtartamán túlmenően biztosító szerződéses megállapodásokból őt megillető jogokat az önkormányzatnak térítésmentesen átadja és ennek tényét a tervezésre, kivitelezésre megkötött szerződésekben rögzíti.</w:t>
            </w:r>
          </w:p>
          <w:p w:rsidR="00E85FA1" w:rsidRPr="0072617F" w:rsidRDefault="00E85FA1" w:rsidP="00461109">
            <w:pPr>
              <w:spacing w:after="0"/>
              <w:ind w:left="720"/>
              <w:jc w:val="both"/>
              <w:rPr>
                <w:rFonts w:ascii="Times New Roman" w:hAnsi="Times New Roman"/>
                <w:sz w:val="24"/>
                <w:szCs w:val="24"/>
              </w:rPr>
            </w:pPr>
          </w:p>
          <w:p w:rsidR="00E85FA1" w:rsidRPr="0072617F" w:rsidRDefault="00E85FA1" w:rsidP="00461109">
            <w:pPr>
              <w:pStyle w:val="lfej"/>
              <w:tabs>
                <w:tab w:val="clear" w:pos="4536"/>
                <w:tab w:val="clear" w:pos="9072"/>
              </w:tabs>
              <w:ind w:left="129" w:right="148"/>
              <w:jc w:val="both"/>
              <w:rPr>
                <w:rFonts w:ascii="Times New Roman" w:hAnsi="Times New Roman"/>
                <w:sz w:val="24"/>
                <w:szCs w:val="24"/>
              </w:rPr>
            </w:pPr>
            <w:r w:rsidRPr="0072617F">
              <w:rPr>
                <w:rFonts w:ascii="Times New Roman" w:hAnsi="Times New Roman"/>
                <w:sz w:val="24"/>
                <w:szCs w:val="24"/>
              </w:rPr>
              <w:t xml:space="preserve">Az útépítési támogatás mértéke ebben az esetben nem </w:t>
            </w:r>
            <w:r w:rsidRPr="0072617F">
              <w:rPr>
                <w:rFonts w:ascii="Times New Roman" w:hAnsi="Times New Roman"/>
                <w:sz w:val="24"/>
                <w:szCs w:val="24"/>
              </w:rPr>
              <w:lastRenderedPageBreak/>
              <w:t xml:space="preserve">haladhatja a beruházás bekerülési költségének az 50 %-át. </w:t>
            </w:r>
          </w:p>
        </w:tc>
      </w:tr>
      <w:tr w:rsidR="00E85FA1" w:rsidRPr="0072617F" w:rsidTr="00461109">
        <w:tc>
          <w:tcPr>
            <w:tcW w:w="3838" w:type="dxa"/>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lastRenderedPageBreak/>
              <w:t>Az eljárást megindító irat benyújtásának módja (helye, ideje):</w:t>
            </w:r>
          </w:p>
        </w:tc>
        <w:tc>
          <w:tcPr>
            <w:tcW w:w="5824" w:type="dxa"/>
            <w:vAlign w:val="center"/>
          </w:tcPr>
          <w:p w:rsidR="00E85FA1" w:rsidRPr="0072617F" w:rsidRDefault="00E85FA1" w:rsidP="00461109">
            <w:pPr>
              <w:autoSpaceDE w:val="0"/>
              <w:snapToGrid w:val="0"/>
              <w:spacing w:after="0"/>
              <w:ind w:left="145" w:right="148"/>
              <w:rPr>
                <w:rFonts w:ascii="Times New Roman" w:hAnsi="Times New Roman"/>
                <w:iCs/>
                <w:color w:val="000000"/>
                <w:kern w:val="1"/>
                <w:sz w:val="24"/>
                <w:szCs w:val="24"/>
                <w:lang w:val="en-US"/>
              </w:rPr>
            </w:pPr>
            <w:r w:rsidRPr="0072617F">
              <w:rPr>
                <w:rFonts w:ascii="Times New Roman" w:hAnsi="Times New Roman"/>
                <w:color w:val="000000"/>
                <w:kern w:val="1"/>
                <w:sz w:val="24"/>
                <w:szCs w:val="24"/>
                <w:lang w:val="en-US"/>
              </w:rPr>
              <w:t>Kecskemét Megyei Jogú Város Polgármesteri Hivatal Színház felőli ügyfélszolgálati helyiség</w:t>
            </w:r>
            <w:r w:rsidRPr="0072617F">
              <w:rPr>
                <w:rFonts w:ascii="Times New Roman" w:hAnsi="Times New Roman"/>
                <w:iCs/>
                <w:color w:val="000000"/>
                <w:kern w:val="1"/>
                <w:sz w:val="24"/>
                <w:szCs w:val="24"/>
                <w:lang w:val="en-US"/>
              </w:rPr>
              <w:t xml:space="preserve"> </w:t>
            </w:r>
          </w:p>
          <w:p w:rsidR="00E85FA1" w:rsidRPr="0072617F" w:rsidRDefault="00E85FA1" w:rsidP="00461109">
            <w:pPr>
              <w:autoSpaceDE w:val="0"/>
              <w:snapToGrid w:val="0"/>
              <w:spacing w:after="0"/>
              <w:ind w:left="145" w:right="148"/>
              <w:jc w:val="center"/>
              <w:rPr>
                <w:rFonts w:ascii="Times New Roman" w:hAnsi="Times New Roman"/>
                <w:iCs/>
                <w:color w:val="000000"/>
                <w:kern w:val="1"/>
                <w:sz w:val="24"/>
                <w:szCs w:val="24"/>
                <w:lang w:val="en-US"/>
              </w:rPr>
            </w:pPr>
            <w:r w:rsidRPr="0072617F">
              <w:rPr>
                <w:rFonts w:ascii="Times New Roman" w:hAnsi="Times New Roman"/>
                <w:iCs/>
                <w:color w:val="000000"/>
                <w:kern w:val="1"/>
                <w:sz w:val="24"/>
                <w:szCs w:val="24"/>
                <w:lang w:val="en-US"/>
              </w:rPr>
              <w:t xml:space="preserve">hétfő:             </w:t>
            </w:r>
            <w:r>
              <w:rPr>
                <w:rFonts w:ascii="Times New Roman" w:hAnsi="Times New Roman"/>
                <w:iCs/>
                <w:color w:val="000000"/>
                <w:kern w:val="1"/>
                <w:sz w:val="24"/>
                <w:szCs w:val="24"/>
                <w:lang w:val="en-US"/>
              </w:rPr>
              <w:t>7</w:t>
            </w:r>
            <w:r w:rsidRPr="0072617F">
              <w:rPr>
                <w:rFonts w:ascii="Times New Roman" w:hAnsi="Times New Roman"/>
                <w:iCs/>
                <w:color w:val="000000"/>
                <w:kern w:val="1"/>
                <w:sz w:val="24"/>
                <w:szCs w:val="24"/>
                <w:lang w:val="en-US"/>
              </w:rPr>
              <w:t>.</w:t>
            </w:r>
            <w:r>
              <w:rPr>
                <w:rFonts w:ascii="Times New Roman" w:hAnsi="Times New Roman"/>
                <w:iCs/>
                <w:color w:val="000000"/>
                <w:kern w:val="1"/>
                <w:sz w:val="24"/>
                <w:szCs w:val="24"/>
                <w:lang w:val="en-US"/>
              </w:rPr>
              <w:t>45</w:t>
            </w:r>
            <w:r w:rsidRPr="0072617F">
              <w:rPr>
                <w:rFonts w:ascii="Times New Roman" w:hAnsi="Times New Roman"/>
                <w:iCs/>
                <w:color w:val="000000"/>
                <w:kern w:val="1"/>
                <w:sz w:val="24"/>
                <w:szCs w:val="24"/>
                <w:lang w:val="en-US"/>
              </w:rPr>
              <w:t xml:space="preserve"> – 12.00 és</w:t>
            </w:r>
          </w:p>
          <w:p w:rsidR="00E85FA1" w:rsidRPr="0072617F" w:rsidRDefault="00E85FA1" w:rsidP="00461109">
            <w:pPr>
              <w:autoSpaceDE w:val="0"/>
              <w:snapToGrid w:val="0"/>
              <w:spacing w:after="0"/>
              <w:jc w:val="center"/>
              <w:rPr>
                <w:rFonts w:ascii="Times New Roman" w:hAnsi="Times New Roman"/>
                <w:iCs/>
                <w:color w:val="000000"/>
                <w:kern w:val="1"/>
                <w:sz w:val="24"/>
                <w:szCs w:val="24"/>
                <w:lang w:val="en-US"/>
              </w:rPr>
            </w:pPr>
            <w:r w:rsidRPr="0072617F">
              <w:rPr>
                <w:rFonts w:ascii="Times New Roman" w:hAnsi="Times New Roman"/>
                <w:iCs/>
                <w:color w:val="000000"/>
                <w:kern w:val="1"/>
                <w:sz w:val="24"/>
                <w:szCs w:val="24"/>
                <w:lang w:val="en-US"/>
              </w:rPr>
              <w:t xml:space="preserve">                 13.00 – 16.30</w:t>
            </w:r>
          </w:p>
          <w:p w:rsidR="00E85FA1" w:rsidRPr="0072617F" w:rsidRDefault="00E85FA1" w:rsidP="00461109">
            <w:pPr>
              <w:autoSpaceDE w:val="0"/>
              <w:snapToGrid w:val="0"/>
              <w:spacing w:after="0"/>
              <w:ind w:left="1421"/>
              <w:rPr>
                <w:rFonts w:ascii="Times New Roman" w:hAnsi="Times New Roman"/>
                <w:iCs/>
                <w:color w:val="000000"/>
                <w:kern w:val="1"/>
                <w:sz w:val="24"/>
                <w:szCs w:val="24"/>
                <w:lang w:val="en-US"/>
              </w:rPr>
            </w:pPr>
            <w:r w:rsidRPr="0072617F">
              <w:rPr>
                <w:rFonts w:ascii="Times New Roman" w:hAnsi="Times New Roman"/>
                <w:iCs/>
                <w:color w:val="000000"/>
                <w:kern w:val="1"/>
                <w:sz w:val="24"/>
                <w:szCs w:val="24"/>
                <w:lang w:val="en-US"/>
              </w:rPr>
              <w:t xml:space="preserve">  szerda:         13.00 – 18.00</w:t>
            </w:r>
          </w:p>
        </w:tc>
      </w:tr>
      <w:tr w:rsidR="00E85FA1" w:rsidRPr="0072617F" w:rsidTr="00461109">
        <w:tc>
          <w:tcPr>
            <w:tcW w:w="3838" w:type="dxa"/>
            <w:vAlign w:val="center"/>
          </w:tcPr>
          <w:p w:rsidR="00E85FA1" w:rsidRPr="0072617F" w:rsidRDefault="00E85FA1" w:rsidP="00461109">
            <w:pPr>
              <w:autoSpaceDE w:val="0"/>
              <w:snapToGrid w:val="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Útmutató, az ügymenetre vonatkozó tájékoztatás:</w:t>
            </w:r>
          </w:p>
        </w:tc>
        <w:tc>
          <w:tcPr>
            <w:tcW w:w="5824" w:type="dxa"/>
            <w:vAlign w:val="center"/>
          </w:tcPr>
          <w:p w:rsidR="00E85FA1" w:rsidRPr="0072617F" w:rsidRDefault="00E85FA1" w:rsidP="00461109">
            <w:pPr>
              <w:autoSpaceDE w:val="0"/>
              <w:spacing w:after="0"/>
              <w:ind w:left="132" w:right="133"/>
              <w:jc w:val="both"/>
              <w:rPr>
                <w:rFonts w:ascii="Times New Roman" w:hAnsi="Times New Roman"/>
                <w:sz w:val="24"/>
                <w:szCs w:val="24"/>
              </w:rPr>
            </w:pPr>
            <w:r w:rsidRPr="0072617F">
              <w:rPr>
                <w:rFonts w:ascii="Times New Roman" w:hAnsi="Times New Roman"/>
                <w:sz w:val="24"/>
                <w:szCs w:val="24"/>
                <w:u w:val="single"/>
              </w:rPr>
              <w:t>Önkormányzati beruházás esetén:</w:t>
            </w:r>
            <w:r w:rsidRPr="0072617F">
              <w:rPr>
                <w:rFonts w:ascii="Times New Roman" w:hAnsi="Times New Roman"/>
                <w:sz w:val="24"/>
                <w:szCs w:val="24"/>
              </w:rPr>
              <w:t xml:space="preserve"> </w:t>
            </w:r>
          </w:p>
          <w:p w:rsidR="00E85FA1" w:rsidRPr="0072617F" w:rsidRDefault="00E85FA1" w:rsidP="00461109">
            <w:pPr>
              <w:autoSpaceDE w:val="0"/>
              <w:spacing w:after="0" w:line="240" w:lineRule="auto"/>
              <w:ind w:left="132" w:right="133"/>
              <w:jc w:val="both"/>
              <w:rPr>
                <w:rFonts w:ascii="Times New Roman" w:hAnsi="Times New Roman"/>
                <w:color w:val="000000"/>
                <w:kern w:val="1"/>
                <w:sz w:val="24"/>
                <w:szCs w:val="24"/>
                <w:lang w:val="en-US"/>
              </w:rPr>
            </w:pPr>
            <w:r w:rsidRPr="0072617F">
              <w:rPr>
                <w:rFonts w:ascii="Times New Roman" w:hAnsi="Times New Roman"/>
                <w:color w:val="000000"/>
                <w:kern w:val="1"/>
                <w:sz w:val="24"/>
                <w:szCs w:val="24"/>
                <w:lang w:val="en-US"/>
              </w:rPr>
              <w:t>Amennyiben a legalább 2/3-os többséggel benyújtott kezdeményezés megvalósításának nincs akadálya, a polgármester tájékoztatja érdekelteket a műszaki lehetőségekről az útépítési együttműködési megállapodás megküldésével egyidejűleg. Az érdekeltek 30 napon belül juttathatják a megállapodást aláírva vissza a polgármesteri hivatal részére.</w:t>
            </w:r>
          </w:p>
          <w:p w:rsidR="00E85FA1" w:rsidRPr="0072617F" w:rsidRDefault="00E85FA1" w:rsidP="00461109">
            <w:pPr>
              <w:autoSpaceDE w:val="0"/>
              <w:spacing w:after="0" w:line="240" w:lineRule="auto"/>
              <w:ind w:left="132" w:right="133"/>
              <w:jc w:val="both"/>
              <w:rPr>
                <w:rFonts w:ascii="Times New Roman" w:hAnsi="Times New Roman"/>
                <w:color w:val="000000"/>
                <w:kern w:val="1"/>
                <w:sz w:val="24"/>
                <w:szCs w:val="24"/>
                <w:lang w:val="en-US"/>
              </w:rPr>
            </w:pPr>
            <w:r w:rsidRPr="0072617F">
              <w:rPr>
                <w:rFonts w:ascii="Times New Roman" w:hAnsi="Times New Roman"/>
                <w:color w:val="000000"/>
                <w:kern w:val="1"/>
                <w:sz w:val="24"/>
                <w:szCs w:val="24"/>
                <w:lang w:val="en-US"/>
              </w:rPr>
              <w:t xml:space="preserve">Amennyiben az érdekeltek legalább 2/3-a a megállapodásokat visszaküldte, a polgármesteri hivatal értesíti érdekelteket a beruházással kapcsolatos információkról. </w:t>
            </w:r>
          </w:p>
          <w:p w:rsidR="00E85FA1" w:rsidRPr="0072617F" w:rsidRDefault="00E85FA1" w:rsidP="00461109">
            <w:pPr>
              <w:autoSpaceDE w:val="0"/>
              <w:spacing w:after="0" w:line="240" w:lineRule="auto"/>
              <w:ind w:left="132" w:right="133"/>
              <w:jc w:val="both"/>
              <w:rPr>
                <w:rFonts w:ascii="Times New Roman" w:hAnsi="Times New Roman"/>
                <w:sz w:val="24"/>
                <w:szCs w:val="24"/>
              </w:rPr>
            </w:pPr>
            <w:r w:rsidRPr="0072617F">
              <w:rPr>
                <w:rFonts w:ascii="Times New Roman" w:hAnsi="Times New Roman"/>
                <w:color w:val="000000"/>
                <w:kern w:val="1"/>
                <w:sz w:val="24"/>
                <w:szCs w:val="24"/>
                <w:lang w:val="en-US"/>
              </w:rPr>
              <w:t>A kivitelezések sorrendjét bizottság állapítja meg.</w:t>
            </w:r>
          </w:p>
          <w:p w:rsidR="00E85FA1" w:rsidRPr="0072617F" w:rsidRDefault="00E85FA1" w:rsidP="00461109">
            <w:pPr>
              <w:pStyle w:val="Szvegtrzs"/>
              <w:ind w:left="132" w:right="133"/>
              <w:jc w:val="both"/>
            </w:pPr>
            <w:r w:rsidRPr="0072617F">
              <w:t xml:space="preserve">Az érdekeltek által vállalt hozzájárulás teljesítése történhet egyösszegű befizetéssel vagy, részletfizetéssel. </w:t>
            </w:r>
          </w:p>
          <w:p w:rsidR="00E85FA1" w:rsidRPr="0072617F" w:rsidRDefault="00E85FA1" w:rsidP="00461109">
            <w:pPr>
              <w:autoSpaceDE w:val="0"/>
              <w:snapToGrid w:val="0"/>
              <w:spacing w:line="240" w:lineRule="auto"/>
              <w:ind w:left="153" w:right="133"/>
              <w:jc w:val="both"/>
              <w:rPr>
                <w:rFonts w:ascii="Times New Roman" w:hAnsi="Times New Roman"/>
                <w:sz w:val="24"/>
                <w:szCs w:val="24"/>
              </w:rPr>
            </w:pPr>
            <w:r w:rsidRPr="0072617F">
              <w:rPr>
                <w:rFonts w:ascii="Times New Roman" w:hAnsi="Times New Roman"/>
                <w:sz w:val="24"/>
                <w:szCs w:val="24"/>
              </w:rPr>
              <w:t>A polgármester – ha az útépítési együttműködésben az érdekeltek több mint kétharmada részt vesz – az abban részt nem vevő, de a közút használatában érdekelt természetes és jogi személyt, jogi személyiség nélküli gazdasági társaságot a résztvevők által vállalt anyagi hozzájárulás mértékéig útépítési érdekeltségi hozzájárulás - a határozat jogerőre emelkedésétől számított 60 napon belüli - egyösszegű megfizetésére kötelezi a közigazgatási hatósági eljárás szabályai szerint.</w:t>
            </w:r>
          </w:p>
          <w:p w:rsidR="00E85FA1" w:rsidRPr="0072617F" w:rsidRDefault="00E85FA1" w:rsidP="00461109">
            <w:pPr>
              <w:autoSpaceDE w:val="0"/>
              <w:snapToGrid w:val="0"/>
              <w:spacing w:after="0"/>
              <w:ind w:left="153" w:right="133"/>
              <w:jc w:val="both"/>
              <w:rPr>
                <w:rFonts w:ascii="Times New Roman" w:hAnsi="Times New Roman"/>
                <w:sz w:val="24"/>
                <w:szCs w:val="24"/>
                <w:u w:val="single"/>
              </w:rPr>
            </w:pPr>
            <w:r w:rsidRPr="0072617F">
              <w:rPr>
                <w:rFonts w:ascii="Times New Roman" w:hAnsi="Times New Roman"/>
                <w:sz w:val="24"/>
                <w:szCs w:val="24"/>
                <w:u w:val="single"/>
              </w:rPr>
              <w:t>Nem önkormányzati beruházás esetén:</w:t>
            </w:r>
          </w:p>
          <w:p w:rsidR="00E85FA1" w:rsidRPr="0072617F" w:rsidRDefault="00E85FA1" w:rsidP="00461109">
            <w:pPr>
              <w:spacing w:after="0" w:line="240" w:lineRule="auto"/>
              <w:ind w:left="145" w:right="148"/>
              <w:jc w:val="both"/>
              <w:rPr>
                <w:rFonts w:ascii="Times New Roman" w:hAnsi="Times New Roman"/>
                <w:sz w:val="24"/>
                <w:szCs w:val="24"/>
              </w:rPr>
            </w:pPr>
            <w:bookmarkStart w:id="0" w:name="_Hlk481659062"/>
            <w:r w:rsidRPr="0072617F">
              <w:rPr>
                <w:rFonts w:ascii="Times New Roman" w:hAnsi="Times New Roman"/>
                <w:sz w:val="24"/>
                <w:szCs w:val="24"/>
              </w:rPr>
              <w:t>Az útépítési támogatások nyújtásáról a rendeletben meghatározott feltételek teljesülése esetén a polgármester a bizottság által meghatározott sorrend figyelembevételével dönt, ha a kérelmező igazolja, hogy a beruházás bekerülési költségének az önkormányzattól kért útépítési támogatáson felüli része rendelkezésére áll és az útépítési beruházás vagy járdaépítés megvalósításának rendeletben meghatározott feltételei teljesülnek.</w:t>
            </w:r>
          </w:p>
          <w:p w:rsidR="00E85FA1" w:rsidRPr="0072617F" w:rsidRDefault="00E85FA1" w:rsidP="00461109">
            <w:pPr>
              <w:autoSpaceDE w:val="0"/>
              <w:snapToGrid w:val="0"/>
              <w:spacing w:after="0" w:line="240" w:lineRule="auto"/>
              <w:ind w:left="145" w:right="148"/>
              <w:jc w:val="both"/>
              <w:rPr>
                <w:rFonts w:ascii="Times New Roman" w:eastAsia="Times New Roman" w:hAnsi="Times New Roman"/>
                <w:color w:val="000000"/>
                <w:sz w:val="24"/>
                <w:szCs w:val="24"/>
              </w:rPr>
            </w:pPr>
            <w:bookmarkStart w:id="1" w:name="_Hlk481660340"/>
            <w:bookmarkEnd w:id="0"/>
            <w:r w:rsidRPr="0072617F">
              <w:rPr>
                <w:rFonts w:ascii="Times New Roman" w:hAnsi="Times New Roman"/>
                <w:sz w:val="24"/>
                <w:szCs w:val="24"/>
              </w:rPr>
              <w:t>A polgármester az útépítési támogatás biztosításáról megállapodást köt a kérelmezővel, az útépítési beruházás vagy járdaépítés forgalomba helyezését követő 30 napon belül az útépítési támogatást a kérelmező részére kifizeti</w:t>
            </w:r>
            <w:r w:rsidRPr="0072617F">
              <w:rPr>
                <w:rFonts w:ascii="Times New Roman" w:hAnsi="Times New Roman"/>
              </w:rPr>
              <w:t>.</w:t>
            </w:r>
            <w:bookmarkEnd w:id="1"/>
          </w:p>
        </w:tc>
      </w:tr>
      <w:tr w:rsidR="00E85FA1" w:rsidRPr="00DD34CC" w:rsidTr="00461109">
        <w:trPr>
          <w:trHeight w:val="715"/>
        </w:trPr>
        <w:tc>
          <w:tcPr>
            <w:tcW w:w="3838" w:type="dxa"/>
            <w:vAlign w:val="center"/>
          </w:tcPr>
          <w:p w:rsidR="00E85FA1" w:rsidRPr="0072617F" w:rsidRDefault="00E85FA1" w:rsidP="00461109">
            <w:pPr>
              <w:autoSpaceDE w:val="0"/>
              <w:snapToGrid w:val="0"/>
              <w:spacing w:after="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lastRenderedPageBreak/>
              <w:t>Ügyintézéshez használt letölthető formanyomtatványok:</w:t>
            </w:r>
          </w:p>
        </w:tc>
        <w:tc>
          <w:tcPr>
            <w:tcW w:w="5824" w:type="dxa"/>
            <w:vAlign w:val="center"/>
          </w:tcPr>
          <w:p w:rsidR="00E85FA1" w:rsidRPr="00DD34CC" w:rsidRDefault="00E85FA1" w:rsidP="00461109">
            <w:pPr>
              <w:widowControl w:val="0"/>
              <w:suppressAutoHyphens/>
              <w:autoSpaceDE w:val="0"/>
              <w:snapToGrid w:val="0"/>
              <w:spacing w:after="0" w:line="240" w:lineRule="auto"/>
              <w:ind w:left="129" w:right="144"/>
              <w:jc w:val="both"/>
              <w:rPr>
                <w:rFonts w:ascii="Times New Roman" w:hAnsi="Times New Roman"/>
                <w:color w:val="000000"/>
                <w:kern w:val="1"/>
                <w:sz w:val="24"/>
                <w:szCs w:val="24"/>
                <w:lang w:val="en-US"/>
              </w:rPr>
            </w:pPr>
            <w:r>
              <w:rPr>
                <w:rFonts w:ascii="Times New Roman" w:hAnsi="Times New Roman"/>
                <w:color w:val="000000"/>
                <w:kern w:val="1"/>
                <w:sz w:val="24"/>
                <w:szCs w:val="24"/>
                <w:lang w:val="en-US"/>
              </w:rPr>
              <w:t>Lakossági önerős</w:t>
            </w:r>
            <w:r w:rsidRPr="00DD34CC">
              <w:rPr>
                <w:rFonts w:ascii="Times New Roman" w:hAnsi="Times New Roman"/>
                <w:color w:val="000000"/>
                <w:kern w:val="1"/>
                <w:sz w:val="24"/>
                <w:szCs w:val="24"/>
                <w:lang w:val="en-US"/>
              </w:rPr>
              <w:t xml:space="preserve"> útépítés kezdeményezés</w:t>
            </w:r>
            <w:r>
              <w:rPr>
                <w:rFonts w:ascii="Times New Roman" w:hAnsi="Times New Roman"/>
                <w:color w:val="000000"/>
                <w:kern w:val="1"/>
                <w:sz w:val="24"/>
                <w:szCs w:val="24"/>
                <w:lang w:val="en-US"/>
              </w:rPr>
              <w:t>e (önkormányzati beruházásban)</w:t>
            </w:r>
          </w:p>
        </w:tc>
      </w:tr>
      <w:tr w:rsidR="00E85FA1" w:rsidRPr="00845003" w:rsidTr="00461109">
        <w:trPr>
          <w:trHeight w:val="715"/>
        </w:trPr>
        <w:tc>
          <w:tcPr>
            <w:tcW w:w="3838" w:type="dxa"/>
            <w:vAlign w:val="center"/>
          </w:tcPr>
          <w:p w:rsidR="00E85FA1" w:rsidRPr="0072617F" w:rsidRDefault="00E85FA1" w:rsidP="00461109">
            <w:pPr>
              <w:autoSpaceDE w:val="0"/>
              <w:snapToGrid w:val="0"/>
              <w:spacing w:after="0"/>
              <w:rPr>
                <w:rFonts w:ascii="Times New Roman" w:eastAsia="Times New Roman" w:hAnsi="Times New Roman"/>
                <w:color w:val="000000"/>
                <w:sz w:val="24"/>
                <w:szCs w:val="24"/>
              </w:rPr>
            </w:pPr>
            <w:r w:rsidRPr="0072617F">
              <w:rPr>
                <w:rFonts w:ascii="Times New Roman" w:eastAsia="Times New Roman" w:hAnsi="Times New Roman"/>
                <w:color w:val="000000"/>
                <w:sz w:val="24"/>
                <w:szCs w:val="24"/>
              </w:rPr>
              <w:t>Elektronikus úton való intézés lehetősége:</w:t>
            </w:r>
          </w:p>
        </w:tc>
        <w:tc>
          <w:tcPr>
            <w:tcW w:w="5824" w:type="dxa"/>
            <w:vAlign w:val="center"/>
          </w:tcPr>
          <w:p w:rsidR="00E85FA1" w:rsidRPr="00845003" w:rsidRDefault="00E85FA1" w:rsidP="00461109">
            <w:pPr>
              <w:autoSpaceDE w:val="0"/>
              <w:snapToGrid w:val="0"/>
              <w:spacing w:after="0"/>
              <w:ind w:left="129"/>
              <w:rPr>
                <w:rFonts w:ascii="Times New Roman" w:eastAsia="Times New Roman" w:hAnsi="Times New Roman"/>
                <w:sz w:val="24"/>
                <w:szCs w:val="24"/>
              </w:rPr>
            </w:pPr>
            <w:r w:rsidRPr="00845003">
              <w:rPr>
                <w:rFonts w:ascii="Times New Roman" w:eastAsia="Times New Roman" w:hAnsi="Times New Roman"/>
                <w:sz w:val="24"/>
                <w:szCs w:val="24"/>
              </w:rPr>
              <w:t xml:space="preserve">1-4. </w:t>
            </w:r>
            <w:r w:rsidRPr="00845003">
              <w:rPr>
                <w:rFonts w:ascii="Times New Roman" w:hAnsi="Times New Roman"/>
                <w:sz w:val="24"/>
                <w:szCs w:val="24"/>
              </w:rPr>
              <w:t>elektronikus szolgáltatási szint</w:t>
            </w:r>
          </w:p>
        </w:tc>
      </w:tr>
    </w:tbl>
    <w:p w:rsidR="00327037" w:rsidRDefault="00327037"/>
    <w:sectPr w:rsidR="00327037" w:rsidSect="00327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2A0"/>
    <w:multiLevelType w:val="hybridMultilevel"/>
    <w:tmpl w:val="ABB021B0"/>
    <w:lvl w:ilvl="0" w:tplc="040E0001">
      <w:start w:val="1"/>
      <w:numFmt w:val="bullet"/>
      <w:lvlText w:val=""/>
      <w:lvlJc w:val="left"/>
      <w:pPr>
        <w:ind w:left="720" w:hanging="360"/>
      </w:pPr>
      <w:rPr>
        <w:rFonts w:ascii="Symbol" w:hAnsi="Symbol" w:hint="default"/>
      </w:rPr>
    </w:lvl>
    <w:lvl w:ilvl="1" w:tplc="BBEAA19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C03155"/>
    <w:multiLevelType w:val="hybridMultilevel"/>
    <w:tmpl w:val="932A581A"/>
    <w:lvl w:ilvl="0" w:tplc="040E0001">
      <w:start w:val="1"/>
      <w:numFmt w:val="bullet"/>
      <w:lvlText w:val=""/>
      <w:lvlJc w:val="left"/>
      <w:pPr>
        <w:ind w:left="1429" w:hanging="360"/>
      </w:pPr>
      <w:rPr>
        <w:rFonts w:ascii="Symbol" w:hAnsi="Symbol" w:hint="default"/>
      </w:rPr>
    </w:lvl>
    <w:lvl w:ilvl="1" w:tplc="040E0001">
      <w:start w:val="1"/>
      <w:numFmt w:val="bullet"/>
      <w:lvlText w:val=""/>
      <w:lvlJc w:val="left"/>
      <w:pPr>
        <w:ind w:left="2149" w:hanging="360"/>
      </w:pPr>
      <w:rPr>
        <w:rFonts w:ascii="Symbol" w:hAnsi="Symbol" w:hint="default"/>
      </w:rPr>
    </w:lvl>
    <w:lvl w:ilvl="2" w:tplc="67E8BFD6">
      <w:start w:val="5"/>
      <w:numFmt w:val="bullet"/>
      <w:lvlText w:val="-"/>
      <w:lvlJc w:val="left"/>
      <w:pPr>
        <w:ind w:left="2869" w:hanging="360"/>
      </w:pPr>
      <w:rPr>
        <w:rFonts w:ascii="Times New Roman" w:eastAsia="Calibri" w:hAnsi="Times New Roman" w:cs="Times New Roman"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226A7E7C"/>
    <w:multiLevelType w:val="hybridMultilevel"/>
    <w:tmpl w:val="2700B120"/>
    <w:lvl w:ilvl="0" w:tplc="EA3C98CA">
      <w:start w:val="1"/>
      <w:numFmt w:val="bullet"/>
      <w:lvlText w:val="­"/>
      <w:lvlJc w:val="left"/>
      <w:pPr>
        <w:ind w:left="720" w:hanging="360"/>
      </w:pPr>
      <w:rPr>
        <w:rFonts w:ascii="Times New Roman" w:hAnsi="Times New Roman" w:cs="Times New Roman" w:hint="default"/>
      </w:rPr>
    </w:lvl>
    <w:lvl w:ilvl="1" w:tplc="EA3C98CA">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E613BF"/>
    <w:multiLevelType w:val="hybridMultilevel"/>
    <w:tmpl w:val="CABC27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3035E2"/>
    <w:multiLevelType w:val="hybridMultilevel"/>
    <w:tmpl w:val="D2E65C06"/>
    <w:lvl w:ilvl="0" w:tplc="36A02262">
      <w:start w:val="1"/>
      <w:numFmt w:val="bullet"/>
      <w:lvlText w:val=""/>
      <w:lvlJc w:val="left"/>
      <w:pPr>
        <w:tabs>
          <w:tab w:val="num" w:pos="2790"/>
        </w:tabs>
        <w:ind w:left="275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A0908C0"/>
    <w:multiLevelType w:val="hybridMultilevel"/>
    <w:tmpl w:val="2B4ECBD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FA1"/>
    <w:rsid w:val="00327037"/>
    <w:rsid w:val="004C1FC2"/>
    <w:rsid w:val="00E85F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5FA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85FA1"/>
    <w:pPr>
      <w:widowControl w:val="0"/>
      <w:suppressAutoHyphens/>
      <w:spacing w:after="120" w:line="240" w:lineRule="auto"/>
    </w:pPr>
    <w:rPr>
      <w:rFonts w:ascii="Times New Roman" w:eastAsia="Tahoma" w:hAnsi="Times New Roman"/>
      <w:sz w:val="24"/>
      <w:szCs w:val="24"/>
    </w:rPr>
  </w:style>
  <w:style w:type="character" w:customStyle="1" w:styleId="SzvegtrzsChar">
    <w:name w:val="Szövegtörzs Char"/>
    <w:basedOn w:val="Bekezdsalapbettpusa"/>
    <w:link w:val="Szvegtrzs"/>
    <w:rsid w:val="00E85FA1"/>
    <w:rPr>
      <w:rFonts w:ascii="Times New Roman" w:eastAsia="Tahoma" w:hAnsi="Times New Roman" w:cs="Times New Roman"/>
      <w:sz w:val="24"/>
      <w:szCs w:val="24"/>
    </w:rPr>
  </w:style>
  <w:style w:type="paragraph" w:styleId="lfej">
    <w:name w:val="header"/>
    <w:basedOn w:val="Norml"/>
    <w:link w:val="lfejChar"/>
    <w:unhideWhenUsed/>
    <w:rsid w:val="00E85FA1"/>
    <w:pPr>
      <w:tabs>
        <w:tab w:val="center" w:pos="4536"/>
        <w:tab w:val="right" w:pos="9072"/>
      </w:tabs>
      <w:spacing w:after="0" w:line="240" w:lineRule="auto"/>
    </w:pPr>
  </w:style>
  <w:style w:type="character" w:customStyle="1" w:styleId="lfejChar">
    <w:name w:val="Élőfej Char"/>
    <w:basedOn w:val="Bekezdsalapbettpusa"/>
    <w:link w:val="lfej"/>
    <w:rsid w:val="00E85F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5766</Characters>
  <Application>Microsoft Office Word</Application>
  <DocSecurity>0</DocSecurity>
  <Lines>48</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 Mihály</dc:creator>
  <cp:lastModifiedBy>Fehér Mihály</cp:lastModifiedBy>
  <cp:revision>1</cp:revision>
  <dcterms:created xsi:type="dcterms:W3CDTF">2019-04-11T05:59:00Z</dcterms:created>
  <dcterms:modified xsi:type="dcterms:W3CDTF">2019-04-11T06:00:00Z</dcterms:modified>
</cp:coreProperties>
</file>